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604B17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B5B42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678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1278DF" w:rsidR="00CA516B" w:rsidRPr="00B91492" w:rsidRDefault="009B5B4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Minister Kultury, </w:t>
            </w:r>
            <w:r w:rsidR="001F1678" w:rsidRPr="00B91492">
              <w:rPr>
                <w:rFonts w:ascii="Arial" w:hAnsi="Arial" w:cs="Arial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i Sportu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77777777" w:rsidR="00CA516B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Aktualna kwota: 108 794 133,42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77777777" w:rsidR="00CA516B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55CE9679" w14:textId="49D3ED98" w:rsidR="00572699" w:rsidRPr="00B91492" w:rsidRDefault="00572699" w:rsidP="0033420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30 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czerwca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408E2C1" w:rsidR="00907F6D" w:rsidRPr="00B91492" w:rsidRDefault="00AF1C64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86,15</w:t>
            </w:r>
            <w:r w:rsidR="00572699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1EB19BA4" w:rsidR="006948D3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AF1C64">
              <w:rPr>
                <w:rFonts w:ascii="Arial" w:hAnsi="Arial" w:cs="Arial"/>
                <w:sz w:val="18"/>
                <w:szCs w:val="20"/>
              </w:rPr>
              <w:t>78,74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B9149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3D6E385B" w:rsidR="00071880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AF1C64">
              <w:rPr>
                <w:rFonts w:ascii="Arial" w:hAnsi="Arial" w:cs="Arial"/>
                <w:sz w:val="18"/>
                <w:szCs w:val="20"/>
              </w:rPr>
              <w:t>63,96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427B2C6" w14:textId="77777777" w:rsidR="006948D3" w:rsidRPr="00B9149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31D8DEEB" w:rsidR="00907F6D" w:rsidRPr="00B91492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AF1C64">
              <w:rPr>
                <w:rFonts w:ascii="Arial" w:hAnsi="Arial" w:cs="Arial"/>
                <w:sz w:val="18"/>
                <w:szCs w:val="20"/>
              </w:rPr>
              <w:t>79,05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3A7743D8" w:rsidR="00907F6D" w:rsidRPr="00B91492" w:rsidRDefault="005C79A8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79,74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2"/>
        <w:gridCol w:w="1987"/>
        <w:gridCol w:w="1232"/>
        <w:gridCol w:w="1794"/>
        <w:gridCol w:w="2634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362B8A20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</w:t>
            </w:r>
            <w:r w:rsidR="006754C7">
              <w:rPr>
                <w:rFonts w:ascii="Arial" w:hAnsi="Arial" w:cs="Arial"/>
                <w:sz w:val="18"/>
                <w:szCs w:val="18"/>
              </w:rPr>
              <w:t xml:space="preserve"> 3813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E422A5C" w14:textId="4C545FD5" w:rsidR="00B91492" w:rsidRPr="00B91492" w:rsidRDefault="00B91492" w:rsidP="006754C7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8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5770DF32" w:rsidR="00B91492" w:rsidRPr="00B91492" w:rsidRDefault="0016576B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64B49FC5" w:rsidR="00B91492" w:rsidRPr="009B5B42" w:rsidRDefault="00334201" w:rsidP="0033420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B91492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</w:tcPr>
          <w:p w14:paraId="4AB013AE" w14:textId="1DD7D960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34127D8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0DDE2562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B91492" w:rsidRPr="00B91492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3F2CEC30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4F766C" w14:textId="38F1032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5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3813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(szt)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5C5EFD5C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624E8EF6" w14:textId="0D53074D" w:rsidR="00B91492" w:rsidRPr="00B91492" w:rsidRDefault="006754C7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14</w:t>
            </w:r>
            <w:r w:rsidR="00B91492">
              <w:rPr>
                <w:rFonts w:ascii="Arial" w:hAnsi="Arial" w:cs="Arial"/>
                <w:sz w:val="18"/>
                <w:szCs w:val="18"/>
              </w:rPr>
              <w:t>0 000,00</w:t>
            </w:r>
          </w:p>
        </w:tc>
        <w:tc>
          <w:tcPr>
            <w:tcW w:w="1289" w:type="dxa"/>
          </w:tcPr>
          <w:p w14:paraId="7ACF597E" w14:textId="38467F02" w:rsidR="00B91492" w:rsidRPr="0016576B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08-2020</w:t>
            </w:r>
          </w:p>
        </w:tc>
        <w:tc>
          <w:tcPr>
            <w:tcW w:w="1914" w:type="dxa"/>
          </w:tcPr>
          <w:p w14:paraId="7FA926B6" w14:textId="68D1A6FF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173F22B5" w14:textId="3A2BFEF9" w:rsidR="00B91492" w:rsidRPr="00B91492" w:rsidRDefault="0016576B" w:rsidP="001657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25045EDC" w:rsidR="00B91492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26C09857" w14:textId="7456C52B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45A11A9F" w14:textId="17F05237" w:rsidR="00B91492" w:rsidRPr="00B91492" w:rsidRDefault="0016576B" w:rsidP="00C50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77EB669B" w:rsidR="00B91492" w:rsidRPr="00B91492" w:rsidRDefault="00B20BC2" w:rsidP="00EA4C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Odbiór prac instalatorskich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2DE51CA4" w:rsidR="00B91492" w:rsidRPr="009B5B4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1914" w:type="dxa"/>
          </w:tcPr>
          <w:p w14:paraId="216FFFC0" w14:textId="60AD177F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60B328D0" w14:textId="1B0B7A5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7861BF43" w:rsidR="00C50BA1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519019E4" w14:textId="04CCEFEC" w:rsidR="00C50BA1" w:rsidRPr="00B91492" w:rsidRDefault="006F6A38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64ADCCB0" w14:textId="7027336B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080C7AEB" w:rsidR="006A60AA" w:rsidRPr="00B91492" w:rsidRDefault="00AF435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6 140 000</w:t>
            </w:r>
          </w:p>
        </w:tc>
        <w:tc>
          <w:tcPr>
            <w:tcW w:w="1701" w:type="dxa"/>
          </w:tcPr>
          <w:p w14:paraId="6FE75731" w14:textId="3361C488" w:rsidR="006A60AA" w:rsidRPr="00B91492" w:rsidRDefault="009B5B4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51A760DE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6B80F599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62AE259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CB468AC" w14:textId="6C679802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094F7BAB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9433EDF" w14:textId="25757593" w:rsidR="006F6A38" w:rsidRPr="00B91492" w:rsidRDefault="009B5B42" w:rsidP="009B5B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06/2021 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/data zgodna z wnioskiem</w:t>
            </w:r>
          </w:p>
        </w:tc>
        <w:tc>
          <w:tcPr>
            <w:tcW w:w="2268" w:type="dxa"/>
          </w:tcPr>
          <w:p w14:paraId="13CFB74C" w14:textId="6710D6A3" w:rsidR="006F6A38" w:rsidRPr="00B91492" w:rsidRDefault="00B20BC2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3739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19A3D7" w14:textId="7BEAC6B3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1AF5EAD" w14:textId="4A26FAAA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5B3EE70F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0ADD2242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4E64F00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2B7A70D6" w14:textId="04001C8E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3479E0F" w14:textId="7D984B19" w:rsidR="006F6A38" w:rsidRPr="00B91492" w:rsidRDefault="00B20BC2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3016,51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4D27A17A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1AED211B" w14:textId="73A4F3FC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16576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 data zgodna z wnioskiem/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762043BC" w:rsidR="00C6751B" w:rsidRPr="00B91492" w:rsidRDefault="00B20BC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06-2021</w:t>
            </w:r>
          </w:p>
        </w:tc>
        <w:tc>
          <w:tcPr>
            <w:tcW w:w="1134" w:type="dxa"/>
          </w:tcPr>
          <w:p w14:paraId="56773D50" w14:textId="64C9504B" w:rsidR="00C6751B" w:rsidRPr="00B91492" w:rsidRDefault="006F6A3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zdigitalizowane materiały filmowe gotowe do przekazania i głębokiej archiwizacji </w:t>
            </w:r>
          </w:p>
        </w:tc>
        <w:tc>
          <w:tcPr>
            <w:tcW w:w="1701" w:type="dxa"/>
          </w:tcPr>
          <w:p w14:paraId="1DB94B1B" w14:textId="4B434AA3" w:rsidR="00A86449" w:rsidRPr="00B91492" w:rsidRDefault="00B20BC2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843" w:type="dxa"/>
          </w:tcPr>
          <w:p w14:paraId="6882FECF" w14:textId="36F4C237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3CDFE6D" w14:textId="502DED4C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378A0582" w:rsidR="00363131" w:rsidRPr="00B91492" w:rsidRDefault="00B20BC2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843" w:type="dxa"/>
          </w:tcPr>
          <w:p w14:paraId="54BFC7EE" w14:textId="77777777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Cyfrowe repozytorium Chełmska, opis zależności: typ interfejsu WWW, LAN, usługa fizycznego przeniesienia danych, umożliwia digitalizację i przechowywanie zasobów, zakres wymienianych danych – materiały filmowe po digitalizacji, sposób wymiany danych: kopiowanie danych; status integracji: planowane/modyfikowane; Nazwa systemu: Platforma WEB /zarządzanie/, opis zależności :typ interfesju: WWW,SQL, zakres wymienianych danych: metadane, sposób wymiany danych: bezpośrednie; status integracji : planowane; Funkcje transkodowania – system docelowy; zasób danych wyjściowych, typ interfesju: API, SDK zakres wymienianych danych: materiały filmowe dostosowane do potrzeb platformy, sposób wymiany danych: bezpośrednie, status integracji: planowane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/integracja z rozwiązaniem cloud computing/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Platforma on-line w ramach Centrum Dystrybucji</w:t>
            </w:r>
          </w:p>
        </w:tc>
        <w:tc>
          <w:tcPr>
            <w:tcW w:w="1701" w:type="dxa"/>
          </w:tcPr>
          <w:p w14:paraId="5F837042" w14:textId="240CF614" w:rsidR="00363131" w:rsidRPr="00B91492" w:rsidRDefault="00601228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D8D37FF" w14:textId="7CA98455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Nazwa systemu: Platforma WEB/publiczna/zarządzanie/typ interfesju: WWW, zakres wymienianych danych: tekst, grafika, sposób wymiany danych: bezpośrednie, status integracji: planowane; Platforma WEB /publiczna/ zarządzanie/- wyszukiwanie, systemy docelowe – machine learning dla wyszukiwania,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umożliwia zarządzanie wszystkimi funkcjami niezbędnymi do  prawidłowej pracy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System płatności online / API dostawcy, typ interfejsu: WWW, API, zakres wymienianych danych: dane o płatność, sposób 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257AD15" w14:textId="5A8125A7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8C6812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Zgodnie z art. 4 pkt 3 lit. g ustawy PZP usługi digitalizacji są zwolnione z konieczności jej stosowania. Natomiast prace związane z adaptacją budynku do potrzeb Centrum Dystrybucji wymagać będą zastosowania ustawy PZP. W celu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niwelowania ryzyka opóźnień wydłużono okres związany z realizacją wyboru Oferenta.</w:t>
            </w:r>
          </w:p>
          <w:p w14:paraId="3255652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1539B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3168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Partnerzy rozpoczęli działania mające na 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6C95754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1962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C99A3" w14:textId="045F4864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Realizacja postępowań w celu wyboru wykonawcy: przygotowana został dokumentacja przetargowa dla zadania. </w:t>
            </w:r>
          </w:p>
          <w:p w14:paraId="5B2EAB9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ex-ante.</w:t>
            </w:r>
          </w:p>
          <w:p w14:paraId="28790A6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0A9B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B093F" w14:textId="6BADC4AE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4953297B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Zbadano wrażliwość na wzrost kosztów operacyjnych. Ryzyko będzie monitorowane w procesie Zarządzania projektem.</w:t>
            </w:r>
          </w:p>
          <w:p w14:paraId="0E0E6DA9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193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finansowe: zwiększony popyt na usługi digitalizacyjne spowodować może zatory w 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  <w:p w14:paraId="3E7E664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67CB" w14:textId="122653E3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E275E3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Projektu. Nowo wskazane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terminy nie będą skutkować przekroczeniem terminu realizacji Projektu.</w:t>
            </w:r>
          </w:p>
          <w:p w14:paraId="475787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9FA71" w14:textId="04049949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47B0D6C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6C770" w14:textId="662B9F26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 mająca na celu utrzymanie ciągłości zatrudnienia.</w:t>
            </w:r>
          </w:p>
          <w:p w14:paraId="7B156DBE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5C600" w14:textId="6276D87A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F705574" w14:textId="3D82D841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o szczególnych rozwiązaniach wspierających realizację programów operacyjnych w związku z wystąpieniem COVID-19 w 2020 r, opublikowanej 17 kwietnia 2020 roku (Dz. U. poz. 694) następuje przesunięcie terminu zakończenia projektu o wskazane w w/w Ustawie 90 dni. Ponadto Beneficjent wystąpił do Centrum Projektów Polska Cyfrowa o wydłużenie tego terminu do 30 czerwca 2021. Wobec dotychczasowego braku decyzji o możliwości przesunięcia do czerwca 2021, obecny plan zakłada wdrożenie wersji testowej platformy na przełomie grudnia i stycznia 2021, a uruchomienie platformy w styczniu – lutym 2021, co nie zagraża końcowemu terminowi realizacji projektu.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1F0D7898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Filmowe, Zuzanna Ostapowicz – Kierownik Projektu, tel. 22 10 26 447, e-mail: zuzanna.ostapowicz@pisf.pl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935A3" w14:textId="77777777" w:rsidR="00662758" w:rsidRDefault="00662758" w:rsidP="00BB2420">
      <w:pPr>
        <w:spacing w:after="0" w:line="240" w:lineRule="auto"/>
      </w:pPr>
      <w:r>
        <w:separator/>
      </w:r>
    </w:p>
  </w:endnote>
  <w:endnote w:type="continuationSeparator" w:id="0">
    <w:p w14:paraId="51770A2A" w14:textId="77777777" w:rsidR="00662758" w:rsidRDefault="0066275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D8705CA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3A1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42A93" w14:textId="77777777" w:rsidR="00662758" w:rsidRDefault="00662758" w:rsidP="00BB2420">
      <w:pPr>
        <w:spacing w:after="0" w:line="240" w:lineRule="auto"/>
      </w:pPr>
      <w:r>
        <w:separator/>
      </w:r>
    </w:p>
  </w:footnote>
  <w:footnote w:type="continuationSeparator" w:id="0">
    <w:p w14:paraId="22292A29" w14:textId="77777777" w:rsidR="00662758" w:rsidRDefault="0066275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0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2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  <w:num w:numId="20">
    <w:abstractNumId w:val="23"/>
  </w:num>
  <w:num w:numId="21">
    <w:abstractNumId w:val="19"/>
  </w:num>
  <w:num w:numId="22">
    <w:abstractNumId w:val="21"/>
  </w:num>
  <w:num w:numId="23">
    <w:abstractNumId w:val="24"/>
  </w:num>
  <w:num w:numId="24">
    <w:abstractNumId w:val="11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64287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576B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6493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201"/>
    <w:rsid w:val="00334A24"/>
    <w:rsid w:val="003410FE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7FEB"/>
    <w:rsid w:val="00405EA4"/>
    <w:rsid w:val="0041034F"/>
    <w:rsid w:val="004118A3"/>
    <w:rsid w:val="0041367C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3A15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3B68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B1A32"/>
    <w:rsid w:val="005B33BE"/>
    <w:rsid w:val="005C0469"/>
    <w:rsid w:val="005C6116"/>
    <w:rsid w:val="005C77BB"/>
    <w:rsid w:val="005C79A8"/>
    <w:rsid w:val="005D17CF"/>
    <w:rsid w:val="005D24AF"/>
    <w:rsid w:val="005D5AAB"/>
    <w:rsid w:val="005D6E12"/>
    <w:rsid w:val="005E0ED8"/>
    <w:rsid w:val="005E6ABD"/>
    <w:rsid w:val="005F41FA"/>
    <w:rsid w:val="00600AE4"/>
    <w:rsid w:val="00601228"/>
    <w:rsid w:val="006054AA"/>
    <w:rsid w:val="0062054D"/>
    <w:rsid w:val="006334BF"/>
    <w:rsid w:val="00635A54"/>
    <w:rsid w:val="00661A62"/>
    <w:rsid w:val="00662758"/>
    <w:rsid w:val="006731D9"/>
    <w:rsid w:val="006754C7"/>
    <w:rsid w:val="006822BC"/>
    <w:rsid w:val="006948D3"/>
    <w:rsid w:val="006A60AA"/>
    <w:rsid w:val="006B034F"/>
    <w:rsid w:val="006B3DBA"/>
    <w:rsid w:val="006B5117"/>
    <w:rsid w:val="006C78AE"/>
    <w:rsid w:val="006E0CFA"/>
    <w:rsid w:val="006E6205"/>
    <w:rsid w:val="006F6A38"/>
    <w:rsid w:val="00701800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742"/>
    <w:rsid w:val="007A679C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5B42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1C64"/>
    <w:rsid w:val="00AF4357"/>
    <w:rsid w:val="00AF567D"/>
    <w:rsid w:val="00B17709"/>
    <w:rsid w:val="00B20BC2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0BA1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33623"/>
    <w:rsid w:val="00D4607F"/>
    <w:rsid w:val="00D57025"/>
    <w:rsid w:val="00D57765"/>
    <w:rsid w:val="00D778B8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9146D-D2BA-4F86-A50E-08AF698F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2021-01-15T12:32:00Z</dcterms:created>
  <dcterms:modified xsi:type="dcterms:W3CDTF">2021-01-15T12:32:00Z</dcterms:modified>
</cp:coreProperties>
</file>